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F7EF" w14:textId="2F257FB5" w:rsidR="00D46581" w:rsidRDefault="00D46581" w:rsidP="00D46581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Meede 3</w:t>
      </w:r>
      <w:r>
        <w:rPr>
          <w:rFonts w:ascii="Cambria" w:hAnsi="Cambria"/>
        </w:rPr>
        <w:t xml:space="preserve">.1 </w:t>
      </w:r>
      <w:r>
        <w:rPr>
          <w:rFonts w:ascii="Cambria" w:eastAsia="Cambria" w:hAnsi="Cambria" w:cs="Cambria"/>
          <w:sz w:val="24"/>
          <w:szCs w:val="24"/>
        </w:rPr>
        <w:t xml:space="preserve"> hindamisleht</w:t>
      </w:r>
    </w:p>
    <w:p w14:paraId="5F7F4FA2" w14:textId="77777777" w:rsidR="00D46581" w:rsidRDefault="00D46581" w:rsidP="00D46581">
      <w:pPr>
        <w:spacing w:line="276" w:lineRule="auto"/>
        <w:rPr>
          <w:rFonts w:ascii="Cambria" w:eastAsia="Cambria" w:hAnsi="Cambria" w:cs="Cambria"/>
          <w:sz w:val="24"/>
          <w:szCs w:val="24"/>
        </w:rPr>
      </w:pPr>
    </w:p>
    <w:tbl>
      <w:tblPr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101"/>
        <w:gridCol w:w="1061"/>
      </w:tblGrid>
      <w:tr w:rsidR="00D46581" w14:paraId="36C65E01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321EE27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vAlign w:val="center"/>
          </w:tcPr>
          <w:p w14:paraId="65E2457E" w14:textId="75B3BCB0" w:rsidR="00D46581" w:rsidRDefault="00D46581" w:rsidP="00183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 w:rsidRPr="001835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Taotluse hindamisleht  - </w:t>
            </w:r>
            <w:r w:rsidR="00472D0C" w:rsidRPr="00183550">
              <w:rPr>
                <w:rFonts w:ascii="Cambria" w:eastAsia="Cambria" w:hAnsi="Cambria" w:cs="Cambria"/>
                <w:b/>
                <w:sz w:val="24"/>
                <w:szCs w:val="24"/>
              </w:rPr>
              <w:t>ESF+</w:t>
            </w:r>
            <w:r w:rsidRPr="001835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Meede 3.1</w:t>
            </w:r>
          </w:p>
        </w:tc>
        <w:tc>
          <w:tcPr>
            <w:tcW w:w="1061" w:type="dxa"/>
            <w:vAlign w:val="center"/>
          </w:tcPr>
          <w:p w14:paraId="3490EC4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 </w:t>
            </w:r>
          </w:p>
        </w:tc>
      </w:tr>
      <w:tr w:rsidR="00D46581" w14:paraId="6E5E1BB8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731114E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vAlign w:val="center"/>
          </w:tcPr>
          <w:p w14:paraId="715B686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KOKKU maksimumhinne</w:t>
            </w:r>
          </w:p>
        </w:tc>
        <w:tc>
          <w:tcPr>
            <w:tcW w:w="1061" w:type="dxa"/>
            <w:vAlign w:val="center"/>
          </w:tcPr>
          <w:p w14:paraId="5AC2630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C00000"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100,00</w:t>
            </w:r>
          </w:p>
        </w:tc>
      </w:tr>
      <w:tr w:rsidR="00D46581" w14:paraId="7391407D" w14:textId="77777777" w:rsidTr="005E5C84">
        <w:trPr>
          <w:trHeight w:val="288"/>
          <w:jc w:val="center"/>
        </w:trPr>
        <w:tc>
          <w:tcPr>
            <w:tcW w:w="480" w:type="dxa"/>
            <w:shd w:val="clear" w:color="auto" w:fill="FCE4D6"/>
            <w:vAlign w:val="center"/>
          </w:tcPr>
          <w:p w14:paraId="2B5A5EA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shd w:val="clear" w:color="auto" w:fill="FCE4D6"/>
            <w:vAlign w:val="center"/>
          </w:tcPr>
          <w:p w14:paraId="44EEDE00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Hindamiskriteerium / Osakaal hindest</w:t>
            </w:r>
          </w:p>
        </w:tc>
        <w:tc>
          <w:tcPr>
            <w:tcW w:w="1061" w:type="dxa"/>
            <w:shd w:val="clear" w:color="auto" w:fill="FCE4D6"/>
            <w:vAlign w:val="center"/>
          </w:tcPr>
          <w:p w14:paraId="1AC786F6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HINNE</w:t>
            </w:r>
          </w:p>
        </w:tc>
      </w:tr>
      <w:tr w:rsidR="00D46581" w14:paraId="0304072A" w14:textId="77777777" w:rsidTr="005E5C84">
        <w:trPr>
          <w:trHeight w:val="552"/>
          <w:jc w:val="center"/>
        </w:trPr>
        <w:tc>
          <w:tcPr>
            <w:tcW w:w="480" w:type="dxa"/>
            <w:shd w:val="clear" w:color="auto" w:fill="FCE4D6"/>
            <w:vAlign w:val="center"/>
          </w:tcPr>
          <w:p w14:paraId="2663F34C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shd w:val="clear" w:color="auto" w:fill="FCE4D6"/>
            <w:vAlign w:val="center"/>
          </w:tcPr>
          <w:p w14:paraId="6379760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1. Üldised hindamiskriteeriumid, projekti vastavus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JAP-i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tegevuspiirkonna strateegiale (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max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35)</w:t>
            </w:r>
          </w:p>
        </w:tc>
        <w:tc>
          <w:tcPr>
            <w:tcW w:w="1061" w:type="dxa"/>
            <w:shd w:val="clear" w:color="auto" w:fill="FCE4D6"/>
            <w:vAlign w:val="center"/>
          </w:tcPr>
          <w:p w14:paraId="45B31A4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35,00</w:t>
            </w:r>
          </w:p>
        </w:tc>
      </w:tr>
      <w:tr w:rsidR="00D46581" w14:paraId="1E97F070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4C9382E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9161" w:type="dxa"/>
            <w:gridSpan w:val="2"/>
            <w:vAlign w:val="center"/>
          </w:tcPr>
          <w:p w14:paraId="52122EB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C00000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</w:rPr>
              <w:t xml:space="preserve">Hindepunktide skaala: </w:t>
            </w:r>
            <w:r>
              <w:rPr>
                <w:rFonts w:ascii="Cambria" w:eastAsia="Cambria" w:hAnsi="Cambria" w:cs="Cambria"/>
                <w:i/>
                <w:color w:val="C00000"/>
              </w:rPr>
              <w:t>1– väga nõrk; 2– nõrk; 3 – vähene; 4– hea; 5 – väga hea</w:t>
            </w:r>
          </w:p>
        </w:tc>
      </w:tr>
      <w:tr w:rsidR="00D46581" w14:paraId="175233D5" w14:textId="77777777" w:rsidTr="005E5C84">
        <w:trPr>
          <w:trHeight w:val="302"/>
          <w:jc w:val="center"/>
        </w:trPr>
        <w:tc>
          <w:tcPr>
            <w:tcW w:w="480" w:type="dxa"/>
            <w:vAlign w:val="center"/>
          </w:tcPr>
          <w:p w14:paraId="45EFC21E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</w:t>
            </w:r>
          </w:p>
        </w:tc>
        <w:tc>
          <w:tcPr>
            <w:tcW w:w="8100" w:type="dxa"/>
          </w:tcPr>
          <w:p w14:paraId="19F6D30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panus JAP strateegia täitmisele </w:t>
            </w:r>
          </w:p>
        </w:tc>
        <w:tc>
          <w:tcPr>
            <w:tcW w:w="1061" w:type="dxa"/>
            <w:vAlign w:val="center"/>
          </w:tcPr>
          <w:p w14:paraId="2D0AEDD1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44AB2D52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479B421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2</w:t>
            </w:r>
          </w:p>
        </w:tc>
        <w:tc>
          <w:tcPr>
            <w:tcW w:w="8100" w:type="dxa"/>
          </w:tcPr>
          <w:p w14:paraId="2A43C37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Taotleja ja taotluse sisuline vastavus strateegias sätestatud nõuetele </w:t>
            </w:r>
          </w:p>
        </w:tc>
        <w:tc>
          <w:tcPr>
            <w:tcW w:w="1061" w:type="dxa"/>
            <w:vAlign w:val="center"/>
          </w:tcPr>
          <w:p w14:paraId="04AEE59B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4F16541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75F67D99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</w:t>
            </w:r>
          </w:p>
        </w:tc>
        <w:tc>
          <w:tcPr>
            <w:tcW w:w="8100" w:type="dxa"/>
          </w:tcPr>
          <w:p w14:paraId="0C3D5C7B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panus kodanikuaktiivsuse ja koostöö kasvule. </w:t>
            </w:r>
          </w:p>
        </w:tc>
        <w:tc>
          <w:tcPr>
            <w:tcW w:w="1061" w:type="dxa"/>
            <w:vAlign w:val="center"/>
          </w:tcPr>
          <w:p w14:paraId="2911A4F0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49502085" w14:textId="77777777" w:rsidTr="005E5C84">
        <w:trPr>
          <w:trHeight w:val="315"/>
          <w:jc w:val="center"/>
        </w:trPr>
        <w:tc>
          <w:tcPr>
            <w:tcW w:w="480" w:type="dxa"/>
            <w:vAlign w:val="center"/>
          </w:tcPr>
          <w:p w14:paraId="5BC62ED3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4</w:t>
            </w:r>
          </w:p>
        </w:tc>
        <w:tc>
          <w:tcPr>
            <w:tcW w:w="8100" w:type="dxa"/>
          </w:tcPr>
          <w:p w14:paraId="5CFF480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Projektist tõusev laiem tulu piirkonnale, nt tuntuse tõstmise näol</w:t>
            </w:r>
          </w:p>
        </w:tc>
        <w:tc>
          <w:tcPr>
            <w:tcW w:w="1061" w:type="dxa"/>
            <w:vAlign w:val="center"/>
          </w:tcPr>
          <w:p w14:paraId="487B9D5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189EE74C" w14:textId="77777777" w:rsidTr="005E5C84">
        <w:trPr>
          <w:trHeight w:val="308"/>
          <w:jc w:val="center"/>
        </w:trPr>
        <w:tc>
          <w:tcPr>
            <w:tcW w:w="480" w:type="dxa"/>
            <w:vAlign w:val="center"/>
          </w:tcPr>
          <w:p w14:paraId="21FC6935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  <w:tc>
          <w:tcPr>
            <w:tcW w:w="8100" w:type="dxa"/>
          </w:tcPr>
          <w:p w14:paraId="6B5CD66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mõju </w:t>
            </w:r>
            <w:r>
              <w:rPr>
                <w:rFonts w:ascii="Cambria" w:eastAsia="Cambria" w:hAnsi="Cambria" w:cs="Cambria"/>
              </w:rPr>
              <w:t>koostöö arendamisele</w:t>
            </w:r>
          </w:p>
        </w:tc>
        <w:tc>
          <w:tcPr>
            <w:tcW w:w="1061" w:type="dxa"/>
            <w:vAlign w:val="center"/>
          </w:tcPr>
          <w:p w14:paraId="6399A6B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5455CFB" w14:textId="77777777" w:rsidTr="005E5C84">
        <w:trPr>
          <w:trHeight w:val="315"/>
          <w:jc w:val="center"/>
        </w:trPr>
        <w:tc>
          <w:tcPr>
            <w:tcW w:w="480" w:type="dxa"/>
            <w:vAlign w:val="center"/>
          </w:tcPr>
          <w:p w14:paraId="231C1665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6</w:t>
            </w:r>
          </w:p>
        </w:tc>
        <w:tc>
          <w:tcPr>
            <w:tcW w:w="8100" w:type="dxa"/>
          </w:tcPr>
          <w:p w14:paraId="0793D49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Taotlejal on olemas oskusteave ja kogemus projekti vahetus tegevusvaldkonnas </w:t>
            </w:r>
          </w:p>
        </w:tc>
        <w:tc>
          <w:tcPr>
            <w:tcW w:w="1061" w:type="dxa"/>
            <w:vAlign w:val="center"/>
          </w:tcPr>
          <w:p w14:paraId="4D50868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667C113D" w14:textId="77777777" w:rsidTr="005E5C84">
        <w:trPr>
          <w:trHeight w:val="302"/>
          <w:jc w:val="center"/>
        </w:trPr>
        <w:tc>
          <w:tcPr>
            <w:tcW w:w="480" w:type="dxa"/>
            <w:vAlign w:val="center"/>
          </w:tcPr>
          <w:p w14:paraId="710CD9A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7</w:t>
            </w:r>
          </w:p>
        </w:tc>
        <w:tc>
          <w:tcPr>
            <w:tcW w:w="8100" w:type="dxa"/>
          </w:tcPr>
          <w:p w14:paraId="1506DF05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Taotleja senine panus piirkonnas kohaliku elu edendamisel</w:t>
            </w:r>
          </w:p>
        </w:tc>
        <w:tc>
          <w:tcPr>
            <w:tcW w:w="1061" w:type="dxa"/>
            <w:vAlign w:val="center"/>
          </w:tcPr>
          <w:p w14:paraId="43A6865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34CC7A7E" w14:textId="77777777" w:rsidTr="005E5C84">
        <w:trPr>
          <w:trHeight w:val="288"/>
          <w:jc w:val="center"/>
        </w:trPr>
        <w:tc>
          <w:tcPr>
            <w:tcW w:w="480" w:type="dxa"/>
            <w:shd w:val="clear" w:color="auto" w:fill="FCE4D6"/>
            <w:vAlign w:val="center"/>
          </w:tcPr>
          <w:p w14:paraId="40AE515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shd w:val="clear" w:color="auto" w:fill="FCE4D6"/>
            <w:vAlign w:val="center"/>
          </w:tcPr>
          <w:p w14:paraId="7A742E7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2. Projekti sisu hindamiskriteeriumid (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max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35)</w:t>
            </w:r>
          </w:p>
        </w:tc>
        <w:tc>
          <w:tcPr>
            <w:tcW w:w="1061" w:type="dxa"/>
            <w:shd w:val="clear" w:color="auto" w:fill="FCE4D6"/>
            <w:vAlign w:val="center"/>
          </w:tcPr>
          <w:p w14:paraId="562717E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35</w:t>
            </w:r>
          </w:p>
        </w:tc>
      </w:tr>
      <w:tr w:rsidR="00D46581" w14:paraId="0391DA89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2384067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9161" w:type="dxa"/>
            <w:gridSpan w:val="2"/>
            <w:vAlign w:val="center"/>
          </w:tcPr>
          <w:p w14:paraId="1AF9FDF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C00000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</w:rPr>
              <w:t xml:space="preserve">Hindepunktide skaala:  </w:t>
            </w:r>
            <w:r>
              <w:rPr>
                <w:rFonts w:ascii="Cambria" w:eastAsia="Cambria" w:hAnsi="Cambria" w:cs="Cambria"/>
                <w:i/>
                <w:color w:val="C00000"/>
              </w:rPr>
              <w:t>1– väga nõrk; 2– nõrk; 3 – vähene; 4– hea; 5 – väga hea</w:t>
            </w:r>
          </w:p>
        </w:tc>
      </w:tr>
      <w:tr w:rsidR="00D46581" w14:paraId="70A59DE7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0D79646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8</w:t>
            </w:r>
          </w:p>
        </w:tc>
        <w:tc>
          <w:tcPr>
            <w:tcW w:w="8100" w:type="dxa"/>
          </w:tcPr>
          <w:p w14:paraId="050DAAD3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kavandatavad tegevused lähtuvad vajaduse analüüsist </w:t>
            </w:r>
          </w:p>
        </w:tc>
        <w:tc>
          <w:tcPr>
            <w:tcW w:w="1061" w:type="dxa"/>
            <w:vAlign w:val="center"/>
          </w:tcPr>
          <w:p w14:paraId="785F073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7FC1E9F1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1CA792BE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9</w:t>
            </w:r>
          </w:p>
        </w:tc>
        <w:tc>
          <w:tcPr>
            <w:tcW w:w="8100" w:type="dxa"/>
          </w:tcPr>
          <w:p w14:paraId="63B5452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sihtgrupp ja kasusaajad on täpselt määratletud </w:t>
            </w:r>
          </w:p>
        </w:tc>
        <w:tc>
          <w:tcPr>
            <w:tcW w:w="1061" w:type="dxa"/>
            <w:vAlign w:val="center"/>
          </w:tcPr>
          <w:p w14:paraId="3C2C04D3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31307905" w14:textId="77777777" w:rsidTr="005E5C84">
        <w:trPr>
          <w:trHeight w:val="302"/>
          <w:jc w:val="center"/>
        </w:trPr>
        <w:tc>
          <w:tcPr>
            <w:tcW w:w="480" w:type="dxa"/>
            <w:vAlign w:val="center"/>
          </w:tcPr>
          <w:p w14:paraId="4D38B3D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10</w:t>
            </w:r>
          </w:p>
        </w:tc>
        <w:tc>
          <w:tcPr>
            <w:tcW w:w="8100" w:type="dxa"/>
          </w:tcPr>
          <w:p w14:paraId="13583186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tegevuskava ja tulemuste vahel on loogiline seos</w:t>
            </w:r>
          </w:p>
        </w:tc>
        <w:tc>
          <w:tcPr>
            <w:tcW w:w="1061" w:type="dxa"/>
            <w:vAlign w:val="center"/>
          </w:tcPr>
          <w:p w14:paraId="3970A32B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4024A8B" w14:textId="77777777" w:rsidTr="005E5C84">
        <w:trPr>
          <w:trHeight w:val="315"/>
          <w:jc w:val="center"/>
        </w:trPr>
        <w:tc>
          <w:tcPr>
            <w:tcW w:w="480" w:type="dxa"/>
            <w:vAlign w:val="center"/>
          </w:tcPr>
          <w:p w14:paraId="2B9F8AD6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11</w:t>
            </w:r>
          </w:p>
        </w:tc>
        <w:tc>
          <w:tcPr>
            <w:tcW w:w="8100" w:type="dxa"/>
          </w:tcPr>
          <w:p w14:paraId="229DFB4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Kavandatud kulutused on vajalikud ja põhjendatud </w:t>
            </w:r>
          </w:p>
        </w:tc>
        <w:tc>
          <w:tcPr>
            <w:tcW w:w="1061" w:type="dxa"/>
            <w:vAlign w:val="center"/>
          </w:tcPr>
          <w:p w14:paraId="21BE7E5C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72ED461B" w14:textId="77777777" w:rsidTr="005E5C84">
        <w:trPr>
          <w:trHeight w:val="278"/>
          <w:jc w:val="center"/>
        </w:trPr>
        <w:tc>
          <w:tcPr>
            <w:tcW w:w="480" w:type="dxa"/>
            <w:vAlign w:val="center"/>
          </w:tcPr>
          <w:p w14:paraId="06F2760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12</w:t>
            </w:r>
          </w:p>
        </w:tc>
        <w:tc>
          <w:tcPr>
            <w:tcW w:w="8100" w:type="dxa"/>
          </w:tcPr>
          <w:p w14:paraId="1EA7124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ajakava ja teostamine tundub realistlik</w:t>
            </w:r>
          </w:p>
        </w:tc>
        <w:tc>
          <w:tcPr>
            <w:tcW w:w="1061" w:type="dxa"/>
            <w:vAlign w:val="center"/>
          </w:tcPr>
          <w:p w14:paraId="0A762EC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4CE27673" w14:textId="77777777" w:rsidTr="005E5C84">
        <w:trPr>
          <w:trHeight w:val="308"/>
          <w:jc w:val="center"/>
        </w:trPr>
        <w:tc>
          <w:tcPr>
            <w:tcW w:w="480" w:type="dxa"/>
            <w:vAlign w:val="center"/>
          </w:tcPr>
          <w:p w14:paraId="13A77465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13</w:t>
            </w:r>
          </w:p>
        </w:tc>
        <w:tc>
          <w:tcPr>
            <w:tcW w:w="8100" w:type="dxa"/>
          </w:tcPr>
          <w:p w14:paraId="1A29007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on jätkusuutlik piisava aja kestel, pärast selle elluviimist</w:t>
            </w:r>
          </w:p>
        </w:tc>
        <w:tc>
          <w:tcPr>
            <w:tcW w:w="1061" w:type="dxa"/>
            <w:vAlign w:val="center"/>
          </w:tcPr>
          <w:p w14:paraId="32038A6E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43C736C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26E70779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14</w:t>
            </w:r>
          </w:p>
        </w:tc>
        <w:tc>
          <w:tcPr>
            <w:tcW w:w="8100" w:type="dxa"/>
          </w:tcPr>
          <w:p w14:paraId="081683C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 on uuenduslik</w:t>
            </w:r>
          </w:p>
        </w:tc>
        <w:tc>
          <w:tcPr>
            <w:tcW w:w="1061" w:type="dxa"/>
            <w:vAlign w:val="center"/>
          </w:tcPr>
          <w:p w14:paraId="62CB16F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049EBFE" w14:textId="77777777" w:rsidTr="005E5C84">
        <w:trPr>
          <w:trHeight w:val="288"/>
          <w:jc w:val="center"/>
        </w:trPr>
        <w:tc>
          <w:tcPr>
            <w:tcW w:w="480" w:type="dxa"/>
            <w:shd w:val="clear" w:color="auto" w:fill="FCE4D6"/>
            <w:vAlign w:val="center"/>
          </w:tcPr>
          <w:p w14:paraId="3E24B579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shd w:val="clear" w:color="auto" w:fill="FCE4D6"/>
            <w:vAlign w:val="center"/>
          </w:tcPr>
          <w:p w14:paraId="2152C87D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3. Meetmespetsiifilised hindamiskriteeriumid (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max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30)</w:t>
            </w:r>
          </w:p>
        </w:tc>
        <w:tc>
          <w:tcPr>
            <w:tcW w:w="1061" w:type="dxa"/>
            <w:shd w:val="clear" w:color="auto" w:fill="FCE4D6"/>
            <w:vAlign w:val="center"/>
          </w:tcPr>
          <w:p w14:paraId="7FE21B9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30,00</w:t>
            </w:r>
          </w:p>
        </w:tc>
      </w:tr>
      <w:tr w:rsidR="00D46581" w14:paraId="24D9BD29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4EEF2B4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9161" w:type="dxa"/>
            <w:gridSpan w:val="2"/>
            <w:vAlign w:val="center"/>
          </w:tcPr>
          <w:p w14:paraId="485CA2AE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C00000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</w:rPr>
              <w:t xml:space="preserve">Hindepunktide skaala:  </w:t>
            </w:r>
            <w:r>
              <w:rPr>
                <w:rFonts w:ascii="Cambria" w:eastAsia="Cambria" w:hAnsi="Cambria" w:cs="Cambria"/>
                <w:i/>
                <w:color w:val="C00000"/>
              </w:rPr>
              <w:t>1– väga nõrk; 2– nõrk; 3 – vähene; 4– hea; 5 – väga hea</w:t>
            </w:r>
          </w:p>
        </w:tc>
      </w:tr>
      <w:tr w:rsidR="00D46581" w14:paraId="0A66FE9B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503AA07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15</w:t>
            </w:r>
          </w:p>
        </w:tc>
        <w:tc>
          <w:tcPr>
            <w:tcW w:w="8100" w:type="dxa"/>
          </w:tcPr>
          <w:p w14:paraId="742AD583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mõju taotleja sisemisele arengule ja projekti mõju kogukonna arengule</w:t>
            </w:r>
          </w:p>
        </w:tc>
        <w:tc>
          <w:tcPr>
            <w:tcW w:w="1061" w:type="dxa"/>
            <w:vAlign w:val="center"/>
          </w:tcPr>
          <w:p w14:paraId="2A4DEC1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11926E4A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2C42486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16</w:t>
            </w:r>
          </w:p>
        </w:tc>
        <w:tc>
          <w:tcPr>
            <w:tcW w:w="8100" w:type="dxa"/>
          </w:tcPr>
          <w:p w14:paraId="05DFF421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mõju täiskasvanud elanikkonna vaesuse vähendamisele ja sotsiaalse kaasatuse suurendamisele</w:t>
            </w:r>
          </w:p>
        </w:tc>
        <w:tc>
          <w:tcPr>
            <w:tcW w:w="1061" w:type="dxa"/>
          </w:tcPr>
          <w:p w14:paraId="7BA55A9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23FC8607" w14:textId="77777777" w:rsidTr="005E5C84">
        <w:trPr>
          <w:trHeight w:val="302"/>
          <w:jc w:val="center"/>
        </w:trPr>
        <w:tc>
          <w:tcPr>
            <w:tcW w:w="480" w:type="dxa"/>
            <w:vAlign w:val="center"/>
          </w:tcPr>
          <w:p w14:paraId="399DCF5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17</w:t>
            </w:r>
          </w:p>
        </w:tc>
        <w:tc>
          <w:tcPr>
            <w:tcW w:w="8100" w:type="dxa"/>
          </w:tcPr>
          <w:p w14:paraId="7628413A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mõju piirkonna inimeste elukvaliteedile,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inimväärika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elu tagamisele</w:t>
            </w:r>
          </w:p>
        </w:tc>
        <w:tc>
          <w:tcPr>
            <w:tcW w:w="1061" w:type="dxa"/>
          </w:tcPr>
          <w:p w14:paraId="015B3B3F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7655C728" w14:textId="77777777" w:rsidTr="005E5C84">
        <w:trPr>
          <w:trHeight w:val="288"/>
          <w:jc w:val="center"/>
        </w:trPr>
        <w:tc>
          <w:tcPr>
            <w:tcW w:w="480" w:type="dxa"/>
            <w:vAlign w:val="center"/>
          </w:tcPr>
          <w:p w14:paraId="29AE7F7B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18</w:t>
            </w:r>
          </w:p>
        </w:tc>
        <w:tc>
          <w:tcPr>
            <w:tcW w:w="8100" w:type="dxa"/>
          </w:tcPr>
          <w:p w14:paraId="265D54DC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mõju  hoolduskoormuse leevendamisele, pikaajalise hoolduse ja muude teenuste võrdse kättesaadavuse </w:t>
            </w:r>
            <w:r>
              <w:rPr>
                <w:rFonts w:ascii="Cambria" w:eastAsia="Cambria" w:hAnsi="Cambria" w:cs="Cambria"/>
              </w:rPr>
              <w:t>j</w:t>
            </w:r>
            <w:r>
              <w:rPr>
                <w:rFonts w:ascii="Cambria" w:eastAsia="Cambria" w:hAnsi="Cambria" w:cs="Cambria"/>
                <w:color w:val="000000"/>
              </w:rPr>
              <w:t>a kvaliteedi parandamisele</w:t>
            </w:r>
          </w:p>
        </w:tc>
        <w:tc>
          <w:tcPr>
            <w:tcW w:w="1061" w:type="dxa"/>
          </w:tcPr>
          <w:p w14:paraId="658D3C7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488E81DC" w14:textId="77777777" w:rsidTr="005E5C84">
        <w:trPr>
          <w:trHeight w:val="345"/>
          <w:jc w:val="center"/>
        </w:trPr>
        <w:tc>
          <w:tcPr>
            <w:tcW w:w="480" w:type="dxa"/>
            <w:vAlign w:val="center"/>
          </w:tcPr>
          <w:p w14:paraId="53C63FEB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19</w:t>
            </w:r>
          </w:p>
        </w:tc>
        <w:tc>
          <w:tcPr>
            <w:tcW w:w="8100" w:type="dxa"/>
          </w:tcPr>
          <w:p w14:paraId="778EF3E8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Projekti mõju isikukesksele hooldusele</w:t>
            </w:r>
          </w:p>
        </w:tc>
        <w:tc>
          <w:tcPr>
            <w:tcW w:w="1061" w:type="dxa"/>
          </w:tcPr>
          <w:p w14:paraId="42300DCE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08316FA5" w14:textId="77777777" w:rsidTr="005E5C84">
        <w:trPr>
          <w:trHeight w:val="321"/>
          <w:jc w:val="center"/>
        </w:trPr>
        <w:tc>
          <w:tcPr>
            <w:tcW w:w="480" w:type="dxa"/>
            <w:vAlign w:val="center"/>
          </w:tcPr>
          <w:p w14:paraId="1E18AF96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20</w:t>
            </w:r>
          </w:p>
        </w:tc>
        <w:tc>
          <w:tcPr>
            <w:tcW w:w="8100" w:type="dxa"/>
          </w:tcPr>
          <w:p w14:paraId="3414DF1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Projekti mõju sotsiaalkaitse juurdepääsu parendamisele </w:t>
            </w:r>
          </w:p>
        </w:tc>
        <w:tc>
          <w:tcPr>
            <w:tcW w:w="1061" w:type="dxa"/>
          </w:tcPr>
          <w:p w14:paraId="1FBF47C7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</w:tr>
      <w:tr w:rsidR="00D46581" w14:paraId="4613FE6D" w14:textId="77777777" w:rsidTr="005E5C84">
        <w:trPr>
          <w:trHeight w:val="288"/>
          <w:jc w:val="center"/>
        </w:trPr>
        <w:tc>
          <w:tcPr>
            <w:tcW w:w="480" w:type="dxa"/>
            <w:shd w:val="clear" w:color="auto" w:fill="FCE4D6"/>
            <w:vAlign w:val="center"/>
          </w:tcPr>
          <w:p w14:paraId="6B94B1F4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100" w:type="dxa"/>
            <w:shd w:val="clear" w:color="auto" w:fill="FCE4D6"/>
            <w:vAlign w:val="center"/>
          </w:tcPr>
          <w:p w14:paraId="427BD381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Maksimaalne hinne 100 p (lävend 60 punkti)</w:t>
            </w:r>
          </w:p>
        </w:tc>
        <w:tc>
          <w:tcPr>
            <w:tcW w:w="1061" w:type="dxa"/>
            <w:shd w:val="clear" w:color="auto" w:fill="FCE4D6"/>
            <w:vAlign w:val="center"/>
          </w:tcPr>
          <w:p w14:paraId="236DCB11" w14:textId="77777777" w:rsidR="00D46581" w:rsidRDefault="00D46581" w:rsidP="005E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100,00</w:t>
            </w:r>
          </w:p>
        </w:tc>
      </w:tr>
    </w:tbl>
    <w:p w14:paraId="08147EBB" w14:textId="77777777" w:rsidR="00D46581" w:rsidRDefault="00D46581" w:rsidP="00D46581">
      <w:pPr>
        <w:spacing w:line="276" w:lineRule="auto"/>
        <w:rPr>
          <w:rFonts w:ascii="Cambria" w:eastAsia="Cambria" w:hAnsi="Cambria" w:cs="Cambria"/>
          <w:sz w:val="24"/>
          <w:szCs w:val="24"/>
        </w:rPr>
      </w:pPr>
    </w:p>
    <w:p w14:paraId="46264E59" w14:textId="77777777" w:rsidR="003C2DF7" w:rsidRDefault="003C2DF7"/>
    <w:sectPr w:rsidR="003C2DF7" w:rsidSect="007305A1">
      <w:headerReference w:type="default" r:id="rId6"/>
      <w:footerReference w:type="default" r:id="rId7"/>
      <w:headerReference w:type="first" r:id="rId8"/>
      <w:pgSz w:w="11906" w:h="16838" w:code="9"/>
      <w:pgMar w:top="211" w:right="1325" w:bottom="709" w:left="1276" w:header="259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C002" w14:textId="77777777" w:rsidR="00F70C3F" w:rsidRDefault="00F70C3F">
      <w:pPr>
        <w:spacing w:before="0"/>
      </w:pPr>
      <w:r>
        <w:separator/>
      </w:r>
    </w:p>
  </w:endnote>
  <w:endnote w:type="continuationSeparator" w:id="0">
    <w:p w14:paraId="636A3EBA" w14:textId="77777777" w:rsidR="00F70C3F" w:rsidRDefault="00F70C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90E5" w14:textId="77777777" w:rsidR="00D65BB0" w:rsidRPr="00180B31" w:rsidRDefault="00000000" w:rsidP="00180B31">
    <w:pPr>
      <w:pStyle w:val="Lihttekst"/>
      <w:pBdr>
        <w:top w:val="single" w:sz="4" w:space="1" w:color="auto"/>
      </w:pBdr>
      <w:rPr>
        <w:rFonts w:ascii="Cambria" w:hAnsi="Cambria"/>
        <w:i/>
        <w:color w:val="006600"/>
        <w:sz w:val="22"/>
        <w:szCs w:val="22"/>
      </w:rPr>
    </w:pPr>
    <w:r w:rsidRPr="00180B31">
      <w:rPr>
        <w:rFonts w:ascii="Cambria" w:hAnsi="Cambria"/>
        <w:i/>
        <w:color w:val="006600"/>
        <w:sz w:val="22"/>
        <w:szCs w:val="22"/>
      </w:rPr>
      <w:t>JAP juhatus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FCB1" w14:textId="77777777" w:rsidR="00F70C3F" w:rsidRDefault="00F70C3F">
      <w:pPr>
        <w:spacing w:before="0"/>
      </w:pPr>
      <w:r>
        <w:separator/>
      </w:r>
    </w:p>
  </w:footnote>
  <w:footnote w:type="continuationSeparator" w:id="0">
    <w:p w14:paraId="5410E793" w14:textId="77777777" w:rsidR="00F70C3F" w:rsidRDefault="00F70C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DC3C" w14:textId="2F73596A" w:rsidR="00183550" w:rsidRPr="00183550" w:rsidRDefault="00183550" w:rsidP="00183550">
    <w:pPr>
      <w:pStyle w:val="Pis"/>
      <w:jc w:val="center"/>
      <w:rPr>
        <w:rFonts w:ascii="Arial" w:hAnsi="Arial"/>
        <w:b/>
      </w:rPr>
    </w:pPr>
    <w:r>
      <w:rPr>
        <w:rFonts w:ascii="Arial" w:hAnsi="Arial"/>
        <w:b/>
        <w:noProof/>
        <w:color w:val="1A4400"/>
      </w:rPr>
      <w:drawing>
        <wp:inline distT="0" distB="0" distL="0" distR="0" wp14:anchorId="47F0C7E8" wp14:editId="7B31EE83">
          <wp:extent cx="2042160" cy="414655"/>
          <wp:effectExtent l="0" t="0" r="0" b="4445"/>
          <wp:docPr id="1862017596" name="Pilt 1862017596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39878" name="Pilt 1189539878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  <w:color w:val="1A4400"/>
      </w:rPr>
      <w:tab/>
    </w:r>
    <w:r>
      <w:rPr>
        <w:rFonts w:ascii="Arial" w:hAnsi="Arial"/>
        <w:b/>
        <w:color w:val="1A4400"/>
      </w:rPr>
      <w:tab/>
    </w:r>
    <w:r w:rsidRPr="00183550">
      <w:rPr>
        <w:rFonts w:ascii="Arial" w:hAnsi="Arial"/>
        <w:b/>
      </w:rPr>
      <w:t>LISA 5</w:t>
    </w:r>
  </w:p>
  <w:p w14:paraId="0143BC42" w14:textId="0520A9E7" w:rsidR="00D65BB0" w:rsidRDefault="00000000" w:rsidP="001E0CDE">
    <w:pPr>
      <w:pStyle w:val="Pis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DF94" w14:textId="5E39EE83" w:rsidR="00D65BB0" w:rsidRPr="00183550" w:rsidRDefault="00183550" w:rsidP="00183550">
    <w:pPr>
      <w:pStyle w:val="Pis"/>
      <w:jc w:val="right"/>
      <w:rPr>
        <w:rFonts w:ascii="Arial" w:hAnsi="Arial"/>
        <w:b/>
      </w:rPr>
    </w:pPr>
    <w:bookmarkStart w:id="0" w:name="_Hlk151717057"/>
    <w:r>
      <w:rPr>
        <w:rFonts w:ascii="Arial" w:hAnsi="Arial"/>
        <w:b/>
        <w:noProof/>
        <w:color w:val="1A4400"/>
      </w:rPr>
      <w:drawing>
        <wp:inline distT="0" distB="0" distL="0" distR="0" wp14:anchorId="415DC21A" wp14:editId="4DF7C8F3">
          <wp:extent cx="2042160" cy="414655"/>
          <wp:effectExtent l="0" t="0" r="0" b="4445"/>
          <wp:docPr id="921871046" name="Pilt 921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  <w:color w:val="1A4400"/>
      </w:rPr>
      <w:tab/>
    </w:r>
    <w:r>
      <w:rPr>
        <w:rFonts w:ascii="Arial" w:hAnsi="Arial"/>
        <w:b/>
        <w:color w:val="1A4400"/>
      </w:rPr>
      <w:tab/>
    </w:r>
    <w:r w:rsidRPr="00183550">
      <w:rPr>
        <w:rFonts w:ascii="Arial" w:hAnsi="Arial"/>
        <w:b/>
      </w:rPr>
      <w:t>LISA 5</w:t>
    </w:r>
  </w:p>
  <w:bookmarkEnd w:id="0"/>
  <w:p w14:paraId="3A1711F3" w14:textId="70894199" w:rsidR="00D65BB0" w:rsidRDefault="00D65BB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81"/>
    <w:rsid w:val="000A3BD7"/>
    <w:rsid w:val="00183550"/>
    <w:rsid w:val="00392A22"/>
    <w:rsid w:val="003A4184"/>
    <w:rsid w:val="003C2DF7"/>
    <w:rsid w:val="00472D0C"/>
    <w:rsid w:val="004F606E"/>
    <w:rsid w:val="00542702"/>
    <w:rsid w:val="007305A1"/>
    <w:rsid w:val="00A56219"/>
    <w:rsid w:val="00B34348"/>
    <w:rsid w:val="00C12D33"/>
    <w:rsid w:val="00D46581"/>
    <w:rsid w:val="00D65BB0"/>
    <w:rsid w:val="00E10342"/>
    <w:rsid w:val="00E54FE3"/>
    <w:rsid w:val="00E731B9"/>
    <w:rsid w:val="00F70C3F"/>
    <w:rsid w:val="00FA576F"/>
    <w:rsid w:val="00FC3880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5F25A"/>
  <w15:chartTrackingRefBased/>
  <w15:docId w15:val="{5D951783-F4E8-4309-9D3B-F2B6BC7B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lang w:val="et-E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KIRI1"/>
    <w:qFormat/>
    <w:rsid w:val="00FE3413"/>
    <w:pPr>
      <w:spacing w:before="60" w:after="0"/>
      <w:contextualSpacing/>
    </w:p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B34348"/>
    <w:pPr>
      <w:keepNext/>
      <w:keepLines/>
      <w:spacing w:before="120" w:line="288" w:lineRule="auto"/>
      <w:outlineLvl w:val="0"/>
    </w:pPr>
    <w:rPr>
      <w:rFonts w:ascii="Trebuchet MS" w:eastAsiaTheme="majorEastAsia" w:hAnsi="Trebuchet MS" w:cstheme="majorBidi"/>
      <w:color w:val="008000"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34348"/>
    <w:pPr>
      <w:keepNext/>
      <w:keepLines/>
      <w:spacing w:before="40" w:line="288" w:lineRule="auto"/>
      <w:outlineLvl w:val="1"/>
    </w:pPr>
    <w:rPr>
      <w:rFonts w:ascii="Trebuchet MS" w:eastAsiaTheme="majorEastAsia" w:hAnsi="Trebuchet MS" w:cstheme="majorBidi"/>
      <w:i/>
      <w:color w:val="008000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utoRedefine/>
    <w:uiPriority w:val="1"/>
    <w:qFormat/>
    <w:rsid w:val="00542702"/>
    <w:pPr>
      <w:spacing w:after="0"/>
    </w:pPr>
    <w:rPr>
      <w:sz w:val="22"/>
    </w:rPr>
  </w:style>
  <w:style w:type="character" w:customStyle="1" w:styleId="Pealkiri1Mrk">
    <w:name w:val="Pealkiri 1 Märk"/>
    <w:basedOn w:val="Liguvaikefont"/>
    <w:link w:val="Pealkiri1"/>
    <w:uiPriority w:val="9"/>
    <w:rsid w:val="00B34348"/>
    <w:rPr>
      <w:rFonts w:ascii="Trebuchet MS" w:eastAsiaTheme="majorEastAsia" w:hAnsi="Trebuchet MS" w:cstheme="majorBidi"/>
      <w:color w:val="008000"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B34348"/>
    <w:rPr>
      <w:rFonts w:ascii="Trebuchet MS" w:eastAsiaTheme="majorEastAsia" w:hAnsi="Trebuchet MS" w:cstheme="majorBidi"/>
      <w:i/>
      <w:color w:val="008000"/>
      <w:sz w:val="26"/>
      <w:szCs w:val="26"/>
    </w:rPr>
  </w:style>
  <w:style w:type="paragraph" w:styleId="Pis">
    <w:name w:val="header"/>
    <w:basedOn w:val="Normaallaad"/>
    <w:link w:val="PisMrk"/>
    <w:uiPriority w:val="99"/>
    <w:rsid w:val="00D46581"/>
    <w:pPr>
      <w:tabs>
        <w:tab w:val="center" w:pos="4703"/>
        <w:tab w:val="right" w:pos="9406"/>
      </w:tabs>
      <w:spacing w:before="0"/>
      <w:contextualSpacing w:val="0"/>
    </w:pPr>
    <w:rPr>
      <w:rFonts w:ascii="Tahoma" w:eastAsia="Times New Roman" w:hAnsi="Tahoma" w:cs="Times New Roman"/>
      <w:kern w:val="0"/>
      <w:sz w:val="22"/>
      <w:szCs w:val="22"/>
      <w14:ligatures w14:val="none"/>
    </w:rPr>
  </w:style>
  <w:style w:type="character" w:customStyle="1" w:styleId="PisMrk">
    <w:name w:val="Päis Märk"/>
    <w:basedOn w:val="Liguvaikefont"/>
    <w:link w:val="Pis"/>
    <w:uiPriority w:val="99"/>
    <w:rsid w:val="00D46581"/>
    <w:rPr>
      <w:rFonts w:ascii="Tahoma" w:eastAsia="Times New Roman" w:hAnsi="Tahoma" w:cs="Times New Roman"/>
      <w:kern w:val="0"/>
      <w:sz w:val="22"/>
      <w:szCs w:val="22"/>
      <w14:ligatures w14:val="none"/>
    </w:rPr>
  </w:style>
  <w:style w:type="paragraph" w:styleId="Lihttekst">
    <w:name w:val="Plain Text"/>
    <w:basedOn w:val="Normaallaad"/>
    <w:link w:val="LihttekstMrk"/>
    <w:uiPriority w:val="99"/>
    <w:unhideWhenUsed/>
    <w:rsid w:val="00D46581"/>
    <w:pPr>
      <w:spacing w:before="0"/>
      <w:contextualSpacing w:val="0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LihttekstMrk">
    <w:name w:val="Lihttekst Märk"/>
    <w:basedOn w:val="Liguvaikefont"/>
    <w:link w:val="Lihttekst"/>
    <w:uiPriority w:val="99"/>
    <w:rsid w:val="00D46581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83550"/>
    <w:pPr>
      <w:tabs>
        <w:tab w:val="center" w:pos="4536"/>
        <w:tab w:val="right" w:pos="9072"/>
      </w:tabs>
      <w:spacing w:before="0"/>
    </w:pPr>
  </w:style>
  <w:style w:type="character" w:customStyle="1" w:styleId="JalusMrk">
    <w:name w:val="Jalus Märk"/>
    <w:basedOn w:val="Liguvaikefont"/>
    <w:link w:val="Jalus"/>
    <w:uiPriority w:val="99"/>
    <w:rsid w:val="0018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 Sille Pudel</dc:creator>
  <cp:keywords/>
  <dc:description/>
  <cp:lastModifiedBy>Merle Aruoja</cp:lastModifiedBy>
  <cp:revision>4</cp:revision>
  <cp:lastPrinted>2023-11-24T09:29:00Z</cp:lastPrinted>
  <dcterms:created xsi:type="dcterms:W3CDTF">2023-11-13T12:58:00Z</dcterms:created>
  <dcterms:modified xsi:type="dcterms:W3CDTF">2023-11-29T16:29:00Z</dcterms:modified>
</cp:coreProperties>
</file>